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zaborach pruskim, 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wiedeńskiego w 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konstytucji 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okręgi 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nacjonalizm, syjonizm,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między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 xml:space="preserve">adomości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przedsiębiorczości Polaków w zaborze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 proces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społeczne i narodowe aspekty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Ludwika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Kiereński,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nowych 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lastRenderedPageBreak/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 xml:space="preserve">’a, </w:t>
            </w:r>
            <w:r w:rsidR="007A1B29">
              <w:rPr>
                <w:rFonts w:cs="Humanst521EU-Normal"/>
                <w:sz w:val="20"/>
                <w:szCs w:val="20"/>
              </w:rPr>
              <w:lastRenderedPageBreak/>
              <w:t>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ładu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i rozwój niemieckiego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(niemieckiego narodowego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obóz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ustawy </w:t>
            </w:r>
            <w:r w:rsidRPr="00104FF4">
              <w:rPr>
                <w:rFonts w:cs="Humanst521EU-Normal"/>
                <w:i/>
                <w:sz w:val="20"/>
                <w:szCs w:val="20"/>
              </w:rPr>
              <w:lastRenderedPageBreak/>
              <w:t>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lastRenderedPageBreak/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w pierwszym roku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konflikt polsko-ukraiński o Galicję 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Orlęta Lwowskie, „cud nad Wisłą”, linia 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 xml:space="preserve">,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Bitwy Warszawskiej (15 VIII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wybuchu powstania wielkopolskiego (27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 xml:space="preserve">koncepcja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polsko- 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postać 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wykonawczej poprzez wprowadzenie noweli sierpniowej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Centrolew, wybory brzeskie, proces brzeski, konstytucja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główne kierunki 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</w:t>
            </w:r>
            <w:r w:rsidR="00D74E07" w:rsidRPr="000C67C6">
              <w:rPr>
                <w:rFonts w:cstheme="minorHAnsi"/>
                <w:sz w:val="20"/>
                <w:szCs w:val="20"/>
              </w:rPr>
              <w:lastRenderedPageBreak/>
              <w:t xml:space="preserve">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konstytucja kwietniowa, polityka 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 xml:space="preserve">a Wojciechowskiego </w:t>
            </w:r>
            <w:r w:rsidR="00F57C17" w:rsidRPr="000C67C6">
              <w:rPr>
                <w:rFonts w:cs="Humanst521EU-Normal"/>
                <w:sz w:val="20"/>
                <w:szCs w:val="20"/>
              </w:rPr>
              <w:lastRenderedPageBreak/>
              <w:t>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malarstwie i 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Ribbentrop–Mołotow miały przypaść III 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wyjaśnia, jaki wpływ miały 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FEA" w:rsidRDefault="003F5FEA" w:rsidP="00254330">
      <w:pPr>
        <w:spacing w:after="0" w:line="240" w:lineRule="auto"/>
      </w:pPr>
      <w:r>
        <w:separator/>
      </w:r>
    </w:p>
  </w:endnote>
  <w:endnote w:type="continuationSeparator" w:id="0">
    <w:p w:rsidR="003F5FEA" w:rsidRDefault="003F5FEA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933831"/>
      <w:docPartObj>
        <w:docPartGallery w:val="Page Numbers (Bottom of Page)"/>
        <w:docPartUnique/>
      </w:docPartObj>
    </w:sdtPr>
    <w:sdtEndPr/>
    <w:sdtContent>
      <w:p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149E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FEA" w:rsidRDefault="003F5FEA" w:rsidP="00254330">
      <w:pPr>
        <w:spacing w:after="0" w:line="240" w:lineRule="auto"/>
      </w:pPr>
      <w:r>
        <w:separator/>
      </w:r>
    </w:p>
  </w:footnote>
  <w:footnote w:type="continuationSeparator" w:id="0">
    <w:p w:rsidR="003F5FEA" w:rsidRDefault="003F5FEA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9162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16D512BD-59E8-4453-9E4F-77EDE1E3E0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3C9FA-13FE-4A73-B0DB-8103E62776A4}"/>
</file>

<file path=customXml/itemProps3.xml><?xml version="1.0" encoding="utf-8"?>
<ds:datastoreItem xmlns:ds="http://schemas.openxmlformats.org/officeDocument/2006/customXml" ds:itemID="{2D786FAB-BD19-4B92-8E8F-C8264C75EF4D}"/>
</file>

<file path=customXml/itemProps4.xml><?xml version="1.0" encoding="utf-8"?>
<ds:datastoreItem xmlns:ds="http://schemas.openxmlformats.org/officeDocument/2006/customXml" ds:itemID="{805D2EA4-C634-4B8D-9116-023667BB4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10195</Words>
  <Characters>61170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Anna Pietrzak</cp:lastModifiedBy>
  <cp:revision>4</cp:revision>
  <dcterms:created xsi:type="dcterms:W3CDTF">2024-07-26T11:55:00Z</dcterms:created>
  <dcterms:modified xsi:type="dcterms:W3CDTF">2024-07-30T12:53:00Z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