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Przedmiotowe zasady oceniania - przyroda klasa IV</w:t>
      </w:r>
    </w:p>
    <w:p>
      <w:pPr>
        <w:jc w:val="center"/>
        <w:rPr>
          <w:b/>
        </w:rPr>
      </w:pPr>
      <w:r>
        <w:rPr>
          <w:b/>
        </w:rPr>
        <w:t>Szkoła Podstawowa nr 1 w Nowy Tomyślu</w:t>
      </w:r>
    </w:p>
    <w:p/>
    <w:p>
      <w:r>
        <w:t>I. Ocenianie poszczególnych form aktywności Ocenie podlegają: prace klasowe (sprawdziany), kartkówki, odpowiedzi ustne, zadania domowe,  praca ucznia na lekcji, prace dodatkowe oraz szczególne osiągnięcia.</w:t>
      </w:r>
    </w:p>
    <w:p>
      <w:r>
        <w:t xml:space="preserve">1. </w:t>
      </w:r>
      <w:r>
        <w:rPr>
          <w:b/>
        </w:rPr>
        <w:t>Prace klasowe (sprawdziany)</w:t>
      </w:r>
      <w:r>
        <w:t xml:space="preserve"> są przeprowadzane w formie pisemnej, a ich celem jest sprawdzenie wiadomości i umiejętności ucznia.</w:t>
      </w:r>
    </w:p>
    <w:p>
      <w:pPr>
        <w:rPr>
          <w:rFonts w:hint="default"/>
          <w:lang w:val="pl-PL"/>
        </w:rPr>
      </w:pPr>
      <w:r>
        <w:t>•Uczeń jest informowany o planowanej pracy klasowej z co najmniej tygodniowym wyprzedzeniem</w:t>
      </w:r>
      <w:r>
        <w:rPr>
          <w:rFonts w:hint="default"/>
          <w:lang w:val="pl-PL"/>
        </w:rPr>
        <w:t>.</w:t>
      </w:r>
    </w:p>
    <w:p>
      <w:r>
        <w:t>•Przed pracą klasową nauczyciel podaje jej zakres programowy.</w:t>
      </w:r>
    </w:p>
    <w:p>
      <w:r>
        <w:t xml:space="preserve"> •Pracę klasową poprzedza lekcja powtórzeniowa, podczas której nauczyciel zwraca uwagę uczniów na najważniejsze zagadnienia z danego działu. </w:t>
      </w:r>
    </w:p>
    <w:p>
      <w:r>
        <w:t xml:space="preserve">•Zasady uzasadniania oceny z pracy klasowej, jej poprawy oraz sposób przechowywania prac klasowych są zgodne z Statutem Szkoły. </w:t>
      </w:r>
    </w:p>
    <w:p>
      <w:r>
        <w:t xml:space="preserve">•Praca klasowa umożliwia sprawdzenie wiadomości i umiejętności. </w:t>
      </w:r>
    </w:p>
    <w:p>
      <w:r>
        <w:t>•Zasady przeliczania oceny punktowej na stopień szkolny są zgodne z Statutem Szkoły.</w:t>
      </w:r>
    </w:p>
    <w:p>
      <w:r>
        <w:t>2.</w:t>
      </w:r>
      <w:r>
        <w:rPr>
          <w:b/>
        </w:rPr>
        <w:t xml:space="preserve"> Kartkówki</w:t>
      </w:r>
      <w:r>
        <w:t xml:space="preserve"> są przeprowadzane w formie pisemnej, a ich celem jest sprawdzenie wiadomości i umiejętności ucznia z zakresu programowego ostatnich jednostek lekcyjnych (maksymalnie trzech). </w:t>
      </w:r>
    </w:p>
    <w:p>
      <w:r>
        <w:t xml:space="preserve">•Nauczyciel nie ma obowiązku uprzedzania uczniów o terminie i zakresie programowym kartkówki. </w:t>
      </w:r>
    </w:p>
    <w:p>
      <w:r>
        <w:t>•Kartkówka jest oceniana w skali punktowej, a liczba punktów jest przeliczana na ocenę zgodnie z zasadami Statutu Szkoły.</w:t>
      </w:r>
    </w:p>
    <w:p>
      <w:r>
        <w:t xml:space="preserve"> •Zasady przechowywania kartkówek reguluje Statut Szkoły.</w:t>
      </w:r>
    </w:p>
    <w:p>
      <w:r>
        <w:t xml:space="preserve">3. </w:t>
      </w:r>
      <w:r>
        <w:rPr>
          <w:b/>
        </w:rPr>
        <w:t>Odpowiedzi ustne</w:t>
      </w:r>
      <w:r>
        <w:t xml:space="preserve"> obejmują zakres programowy aktualnie realizowanego działu ( nie więcej niż 3 ostatnie lekcje – chyba, że wcześniej zapowiedziana była lekcja powtórzeniowa).  </w:t>
      </w:r>
    </w:p>
    <w:p>
      <w:r>
        <w:t xml:space="preserve"> Oceniając ją, nauczyciel bierze pod uwagę:</w:t>
      </w:r>
    </w:p>
    <w:p>
      <w:r>
        <w:t xml:space="preserve"> •zgodność wypowiedzi z postawionym pytaniem, </w:t>
      </w:r>
    </w:p>
    <w:p>
      <w:r>
        <w:t>•prawidłowe posługiwanie się pojęciami,</w:t>
      </w:r>
    </w:p>
    <w:p>
      <w:r>
        <w:t xml:space="preserve"> •zawartość merytoryczną wypowiedzi,</w:t>
      </w:r>
    </w:p>
    <w:p>
      <w:r>
        <w:t xml:space="preserve"> •sposób formułowania wypowiedzi.</w:t>
      </w:r>
    </w:p>
    <w:p/>
    <w:p>
      <w:r>
        <w:t xml:space="preserve">4. </w:t>
      </w:r>
      <w:r>
        <w:rPr>
          <w:b/>
        </w:rPr>
        <w:t>Zadania domowe</w:t>
      </w:r>
      <w:r>
        <w:t xml:space="preserve"> obejmują zakres programowy aktualnie realizowanego działu. Oceniając je, nauczyciel bierze pod uwagę:</w:t>
      </w:r>
    </w:p>
    <w:p>
      <w:r>
        <w:t xml:space="preserve"> •zgodność  zadania z  poleceniem,</w:t>
      </w:r>
    </w:p>
    <w:p>
      <w:r>
        <w:t xml:space="preserve"> •zawartość merytoryczną, </w:t>
      </w:r>
    </w:p>
    <w:p>
      <w:r>
        <w:t xml:space="preserve">•wkład pracy ucznia.  </w:t>
      </w:r>
    </w:p>
    <w:p>
      <w:r>
        <w:t xml:space="preserve">5. </w:t>
      </w:r>
      <w:r>
        <w:rPr>
          <w:b/>
        </w:rPr>
        <w:t>Aktywność i praca</w:t>
      </w:r>
      <w:r>
        <w:t xml:space="preserve"> ucznia na lekcji są oceniane zależnie od ich charakteru, za pomocą skali ocen:</w:t>
      </w:r>
    </w:p>
    <w:p>
      <w:pPr>
        <w:rPr>
          <w:rFonts w:hint="default"/>
          <w:lang w:val="pl-PL"/>
        </w:rPr>
      </w:pPr>
      <w:r>
        <w:t xml:space="preserve"> schemat przeliczania plusów za aktywność ucznia na lekcji: - trzy plusy („+”) przeliczane są na ocenę celującą (6)</w:t>
      </w:r>
      <w:r>
        <w:rPr>
          <w:rFonts w:hint="default"/>
          <w:lang w:val="pl-PL"/>
        </w:rPr>
        <w:t>.</w:t>
      </w:r>
    </w:p>
    <w:p>
      <w:r>
        <w:t xml:space="preserve"> 6. </w:t>
      </w:r>
      <w:r>
        <w:rPr>
          <w:b/>
        </w:rPr>
        <w:t>Prace dodatkowe</w:t>
      </w:r>
      <w:r>
        <w:t xml:space="preserve"> obejmują dodatkowe zadania dla  uczniów, prace projektowe wykonane indywidualnie lub zespołowo, plakaty, foldery, wykonanie pomocy naukowych, prezentacji (np. multimedialnej). Oceniając ten rodzaj pracy, nauczyciel bierze pod uwagę m.in.:</w:t>
      </w:r>
    </w:p>
    <w:p>
      <w:r>
        <w:t xml:space="preserve"> •wartość merytoryczną pracy,</w:t>
      </w:r>
    </w:p>
    <w:p>
      <w:r>
        <w:t xml:space="preserve"> •stopień zaangażowania w wykonanie pracy, </w:t>
      </w:r>
    </w:p>
    <w:p>
      <w:r>
        <w:t>•estetykę wykonania,</w:t>
      </w:r>
    </w:p>
    <w:p>
      <w:r>
        <w:t xml:space="preserve"> •wkład pracy ucznia,</w:t>
      </w:r>
    </w:p>
    <w:p>
      <w:r>
        <w:t xml:space="preserve"> •sposób prezentacji, </w:t>
      </w:r>
    </w:p>
    <w:p>
      <w:r>
        <w:t xml:space="preserve">•oryginalność i pomysłowość pracy. </w:t>
      </w:r>
    </w:p>
    <w:p>
      <w:pPr>
        <w:numPr>
          <w:ilvl w:val="0"/>
          <w:numId w:val="1"/>
        </w:numPr>
        <w:ind w:left="49" w:leftChars="0" w:firstLine="0" w:firstLineChars="0"/>
      </w:pPr>
      <w:r>
        <w:rPr>
          <w:b/>
        </w:rPr>
        <w:t>Szczególne osiągnięcia uczniów</w:t>
      </w:r>
      <w:r>
        <w:t>, w tym udział w konkursach przedmiotowych, szkolnych i międzyszkolnych, są oceniane zgodnie z zasadami oceniania zapisanymi w Statucie Szkoły.</w:t>
      </w:r>
    </w:p>
    <w:p>
      <w:pPr>
        <w:numPr>
          <w:numId w:val="0"/>
        </w:numPr>
        <w:ind w:left="49" w:leftChars="0"/>
        <w:rPr>
          <w:rFonts w:hint="default"/>
          <w:lang w:val="pl-PL"/>
        </w:rPr>
      </w:pPr>
      <w:r>
        <w:rPr>
          <w:rFonts w:ascii="Arial" w:hAnsi="Arial" w:eastAsia="Calibri" w:cs="Arial"/>
          <w:b/>
          <w:bCs/>
          <w:sz w:val="18"/>
          <w:szCs w:val="28"/>
        </w:rPr>
        <w:t xml:space="preserve">Wymagania edukacyjne z </w:t>
      </w:r>
      <w:r>
        <w:rPr>
          <w:rFonts w:hint="default" w:ascii="Arial" w:hAnsi="Arial" w:eastAsia="Calibri" w:cs="Arial"/>
          <w:b/>
          <w:bCs/>
          <w:sz w:val="18"/>
          <w:szCs w:val="28"/>
          <w:lang w:val="pl-PL"/>
        </w:rPr>
        <w:t>przyrody</w:t>
      </w:r>
      <w:bookmarkStart w:id="0" w:name="_GoBack"/>
      <w:bookmarkEnd w:id="0"/>
    </w:p>
    <w:tbl>
      <w:tblPr>
        <w:tblStyle w:val="3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20" w:type="dxa"/>
            <w:vMerge w:val="restart"/>
            <w:tcBorders>
              <w:top w:val="single" w:color="FFFFFF" w:themeColor="background1" w:sz="8" w:space="0"/>
              <w:left w:val="single" w:color="25AD7B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color="FFFFFF" w:sz="6" w:space="0"/>
              <w:left w:val="single" w:color="FFFFFF" w:themeColor="background1" w:sz="8" w:space="0"/>
              <w:bottom w:val="single" w:color="000000" w:sz="8" w:space="0"/>
              <w:right w:val="single" w:color="FFFFFF" w:themeColor="background1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25AD7B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25AD7B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25AD7B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FFFFFF" w:themeColor="background1" w:sz="8" w:space="0"/>
              <w:bottom w:val="single" w:color="000000" w:sz="8" w:space="0"/>
              <w:right w:val="single" w:color="FFFFFF" w:sz="6" w:space="0"/>
            </w:tcBorders>
            <w:shd w:val="clear" w:color="auto" w:fill="25AD7B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FFFFFF" w:themeColor="background1" w:sz="6" w:space="0"/>
              <w:left w:val="single" w:color="FFFFFF" w:sz="6" w:space="0"/>
              <w:bottom w:val="single" w:color="FFFFFF" w:themeColor="background1" w:sz="6" w:space="0"/>
              <w:right w:val="single" w:color="FFFFFF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color="FFFFFF" w:themeColor="background1" w:sz="6" w:space="0"/>
              <w:left w:val="single" w:color="FFFFFF" w:sz="6" w:space="0"/>
              <w:bottom w:val="single" w:color="FFFFFF" w:themeColor="background1" w:sz="6" w:space="0"/>
              <w:right w:val="single" w:color="FFFFFF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color="FFFFFF" w:themeColor="background1" w:sz="6" w:space="0"/>
              <w:left w:val="single" w:color="FFFFFF" w:sz="6" w:space="0"/>
              <w:bottom w:val="single" w:color="FFFFFF" w:themeColor="background1" w:sz="6" w:space="0"/>
              <w:right w:val="single" w:color="FFFFFF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color="FFFFFF" w:themeColor="background1" w:sz="6" w:space="0"/>
              <w:left w:val="single" w:color="FFFFFF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25AD7B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25AD7B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25AD7B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FFFFFF" w:themeColor="background1" w:sz="8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25AD7B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25AD7B" w:sz="6" w:space="0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4580" w:type="dxa"/>
            <w:gridSpan w:val="7"/>
            <w:tcBorders>
              <w:top w:val="single" w:color="FFFFFF" w:themeColor="background1" w:sz="6" w:space="0"/>
              <w:left w:val="single" w:color="25AD7B" w:sz="6" w:space="0"/>
              <w:bottom w:val="single" w:color="FFFFFF" w:themeColor="background1" w:sz="6" w:space="0"/>
              <w:right w:val="single" w:color="25AD7B" w:sz="6" w:space="0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color="FFFFFF" w:themeColor="background1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zasadę wykorzystania dowolnego przedmiotu, np. lupy, do dokonywania badań przyrodniczych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4580" w:type="dxa"/>
            <w:gridSpan w:val="7"/>
            <w:tcBorders>
              <w:top w:val="single" w:color="25AD7B" w:sz="6" w:space="0"/>
              <w:left w:val="single" w:color="25AD7B" w:sz="6" w:space="0"/>
              <w:right w:val="single" w:color="25AD7B" w:sz="6" w:space="0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II. Środowisko życia organizmów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nieożywione elementy środowiska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głębokość zbiornika wpływa na ilość światła dostępnego dla organizmów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informacje o jego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4580" w:type="dxa"/>
            <w:gridSpan w:val="7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to jest pogoda?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pojęcia „powietrze”, „atmosfera”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poprawność stwierdzenia „pogoda jest zawsze”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znaczenia atmosfery dla życia na ziemi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dowiaduje się, jaki jest skład powietrza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osadów atmosferycznych i ich stan skupienia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warunki, w jakich powstają: rosa, szron, szadź i gołoledź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doby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przykład, jak można wykorzystać kierunek cienia do oznaczenia kierunków świata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580" w:type="dxa"/>
            <w:gridSpan w:val="7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się dzieje z moją zjedzoną kanapką?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pokarmowe (białka, cukry, tłuszcze, sole mineralne, witaminy)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składniki pokarmowe znajdujące się w jego posiłkach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pojęcie przewód pokarmowy i układ pokarmowy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ogólną rolę gruczołów: ślinianek, wątroby i trzustki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wirusy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szczepienie jako jedną z dróg profilaktyki chorób zakaźnych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 zdrowie?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są niebez-</w:t>
            </w:r>
            <w:r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 w:type="textWrapping"/>
            </w:r>
            <w:r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„używki”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pomocy?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zadzwonić na numer alarmowy gdy telefon jest zablokowany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udzielić pierwszej pomocy w sytuacji oparzeń, ugryzień, ukąszeń, ran lub spożycia trucizny, np. nieznanego grzyba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580" w:type="dxa"/>
            <w:gridSpan w:val="7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2–3 skał występujących w najbliższej okolicy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i rozpoznaje różne rodzaje skał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parku narodowego, krajobrazowego, rezerwatu przyrody, pomnika przyrody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klasie informacje o 2–3 obiektach chronionych najbliższej okolicy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580" w:type="dxa"/>
            <w:gridSpan w:val="7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do narysowania planu niektórych przedmiotów należy zastosować skalę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rysuje plan np. pokoju, boiska, klasy, dokonując pomiarów i dobierając odpowiednią skalę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można czytać?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4580" w:type="dxa"/>
            <w:gridSpan w:val="7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obserwacji zgodnie z instrukcją nauczyciela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0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color="25AD7B" w:sz="6" w:space="0"/>
              <w:left w:val="single" w:color="25AD7B" w:sz="6" w:space="0"/>
              <w:bottom w:val="single" w:color="25AD7B" w:sz="6" w:space="0"/>
              <w:right w:val="single" w:color="25AD7B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/>
    <w:p>
      <w:pPr>
        <w:rPr>
          <w:b/>
        </w:rPr>
      </w:pPr>
      <w:r>
        <w:t xml:space="preserve">II.  </w:t>
      </w:r>
      <w:r>
        <w:rPr>
          <w:b/>
        </w:rPr>
        <w:t>Zasady uzupełniania braków i poprawiania ocen.</w:t>
      </w:r>
    </w:p>
    <w:p>
      <w:r>
        <w:t xml:space="preserve"> 1. Oceny niedostateczne ze sprawdzianów uczniowie mogą poprawiać raz, po uprzednim ustaleniu terminu z nauczycielem.  </w:t>
      </w:r>
    </w:p>
    <w:p>
      <w:r>
        <w:t>2. Oceny ze sprawdzianów wyższe niż niedostateczna nie podlegają poprawie.</w:t>
      </w:r>
    </w:p>
    <w:p>
      <w:r>
        <w:t xml:space="preserve"> 3. Ocen z kartkówek i odpowiedzi ustnych nie można poprawiać. </w:t>
      </w:r>
    </w:p>
    <w:p>
      <w:r>
        <w:t xml:space="preserve">4. Uczeń ma obowiązek uzupełnić braki w wiedzy i umiejętnościach wynikające np. z nieobecności, indywidualnie, zgodnie z postanowieniami wskazanymi w Statucie Szkoły. Wskazany jest wcześniejszy kontakt z nauczycielem. </w:t>
      </w:r>
    </w:p>
    <w:p>
      <w:r>
        <w:t xml:space="preserve"> III</w:t>
      </w:r>
      <w:r>
        <w:rPr>
          <w:b/>
        </w:rPr>
        <w:t>.  Warunki i tryb uzyskania wyższej niż przewidywana rocznej oceny klasyfikacyjnej z przyrody</w:t>
      </w:r>
      <w:r>
        <w:t xml:space="preserve"> *Przewidywana ocena roczna może ulec zmianie w przypadku, gdy uczeń spełni dodatkowe warunki:  </w:t>
      </w:r>
    </w:p>
    <w:p>
      <w:r>
        <w:t xml:space="preserve">1) wykona zadanie pisemne zalecone przez nauczyciela prowadzącego zajęcia,  </w:t>
      </w:r>
    </w:p>
    <w:p>
      <w:r>
        <w:t xml:space="preserve">2) nie ma nieusprawiedliwionych godzin lekcyjnych, </w:t>
      </w:r>
    </w:p>
    <w:p>
      <w:r>
        <w:t xml:space="preserve"> 3) liczba spóźnień nie przekracza 7 w skali roku szkolnego. </w:t>
      </w:r>
    </w:p>
    <w:p>
      <w:r>
        <w:t>* Przewidywana roczna ocena może ulec zmianie również w wyniku przeprowadzonego egzaminu sprawdzającego (szczegółowe zapisy zawarte są w Statucie Szkoły).</w:t>
      </w: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(OTF) 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A1C39F"/>
    <w:multiLevelType w:val="singleLevel"/>
    <w:tmpl w:val="CCA1C39F"/>
    <w:lvl w:ilvl="0" w:tentative="0">
      <w:start w:val="7"/>
      <w:numFmt w:val="decimal"/>
      <w:suff w:val="space"/>
      <w:lvlText w:val="%1."/>
      <w:lvlJc w:val="left"/>
      <w:pPr>
        <w:ind w:left="4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52"/>
    <w:rsid w:val="004A2007"/>
    <w:rsid w:val="004D7D31"/>
    <w:rsid w:val="00577875"/>
    <w:rsid w:val="0094426B"/>
    <w:rsid w:val="00986919"/>
    <w:rsid w:val="00A92613"/>
    <w:rsid w:val="00AC7A38"/>
    <w:rsid w:val="00B401CD"/>
    <w:rsid w:val="00B87A6C"/>
    <w:rsid w:val="00CE4CB3"/>
    <w:rsid w:val="00D45252"/>
    <w:rsid w:val="00DC0BCA"/>
    <w:rsid w:val="1E9E1F34"/>
    <w:rsid w:val="2CD47A67"/>
    <w:rsid w:val="45235111"/>
    <w:rsid w:val="61A17BFB"/>
    <w:rsid w:val="7E1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4"/>
    <w:qFormat/>
    <w:uiPriority w:val="0"/>
    <w:pPr>
      <w:spacing w:after="0" w:line="240" w:lineRule="auto"/>
      <w:jc w:val="center"/>
    </w:pPr>
    <w:rPr>
      <w:rFonts w:ascii="Arial" w:hAnsi="Arial" w:eastAsia="Calibri" w:cs="Times New Roman"/>
      <w:b/>
      <w:sz w:val="20"/>
      <w:szCs w:val="20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qFormat/>
    <w:uiPriority w:val="99"/>
    <w:rPr>
      <w:b/>
      <w:bCs/>
    </w:rPr>
  </w:style>
  <w:style w:type="character" w:styleId="9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endnote text"/>
    <w:basedOn w:val="1"/>
    <w:link w:val="1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3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Tekst podstawowy 2 Znak"/>
    <w:basedOn w:val="2"/>
    <w:link w:val="5"/>
    <w:qFormat/>
    <w:uiPriority w:val="0"/>
    <w:rPr>
      <w:rFonts w:ascii="Arial" w:hAnsi="Arial" w:eastAsia="Calibri" w:cs="Times New Roman"/>
      <w:b/>
      <w:sz w:val="20"/>
      <w:szCs w:val="20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Nagłówek Znak"/>
    <w:basedOn w:val="2"/>
    <w:link w:val="12"/>
    <w:qFormat/>
    <w:uiPriority w:val="99"/>
  </w:style>
  <w:style w:type="character" w:customStyle="1" w:styleId="17">
    <w:name w:val="Stopka Znak"/>
    <w:basedOn w:val="2"/>
    <w:link w:val="11"/>
    <w:qFormat/>
    <w:uiPriority w:val="99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ekst przypisu końcowego Znak"/>
    <w:basedOn w:val="2"/>
    <w:link w:val="10"/>
    <w:semiHidden/>
    <w:uiPriority w:val="99"/>
    <w:rPr>
      <w:sz w:val="20"/>
      <w:szCs w:val="20"/>
    </w:rPr>
  </w:style>
  <w:style w:type="character" w:customStyle="1" w:styleId="20">
    <w:name w:val="Tekst komentarza Znak"/>
    <w:basedOn w:val="2"/>
    <w:link w:val="7"/>
    <w:semiHidden/>
    <w:qFormat/>
    <w:uiPriority w:val="99"/>
    <w:rPr>
      <w:sz w:val="20"/>
      <w:szCs w:val="20"/>
    </w:rPr>
  </w:style>
  <w:style w:type="character" w:customStyle="1" w:styleId="21">
    <w:name w:val="Temat komentarza Znak"/>
    <w:basedOn w:val="20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E7EF3DA32DD46899C191876B1DA25" ma:contentTypeVersion="14" ma:contentTypeDescription="Utwórz nowy dokument." ma:contentTypeScope="" ma:versionID="8dfe4c5dd342cb7f17162141972f5c4f">
  <xsd:schema xmlns:xsd="http://www.w3.org/2001/XMLSchema" xmlns:xs="http://www.w3.org/2001/XMLSchema" xmlns:p="http://schemas.microsoft.com/office/2006/metadata/properties" xmlns:ns2="96a9252d-22b4-401b-81fe-38f29980763a" xmlns:ns3="7884e063-8ac5-4640-a91d-a9afc51a8f6c" targetNamespace="http://schemas.microsoft.com/office/2006/metadata/properties" ma:root="true" ma:fieldsID="629f41cd382665d31df4df11f9f932ab" ns2:_="" ns3:_="">
    <xsd:import namespace="96a9252d-22b4-401b-81fe-38f29980763a"/>
    <xsd:import namespace="7884e063-8ac5-4640-a91d-a9afc51a8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252d-22b4-401b-81fe-38f299807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be47c0a-139d-40ea-843e-8aa850a73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soba" ma:index="2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e063-8ac5-4640-a91d-a9afc51a8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8d61b5c-45ec-4c9f-9ba9-a21097ad6ef7}" ma:internalName="TaxCatchAll" ma:showField="CatchAllData" ma:web="7884e063-8ac5-4640-a91d-a9afc51a8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84e063-8ac5-4640-a91d-a9afc51a8f6c" xsi:nil="true"/>
    <lcf76f155ced4ddcb4097134ff3c332f xmlns="96a9252d-22b4-401b-81fe-38f29980763a">
      <Terms xmlns="http://schemas.microsoft.com/office/infopath/2007/PartnerControls"/>
    </lcf76f155ced4ddcb4097134ff3c332f>
    <Osoba xmlns="96a9252d-22b4-401b-81fe-38f29980763a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B8301EE5-D033-40C7-8835-79C317E781E7}"/>
</file>

<file path=customXml/itemProps2.xml><?xml version="1.0" encoding="utf-8"?>
<ds:datastoreItem xmlns:ds="http://schemas.openxmlformats.org/officeDocument/2006/customXml" ds:itemID="{E13C1450-9404-42E6-822A-8ADAE7556BDF}"/>
</file>

<file path=customXml/itemProps3.xml><?xml version="1.0" encoding="utf-8"?>
<ds:datastoreItem xmlns:ds="http://schemas.openxmlformats.org/officeDocument/2006/customXml" ds:itemID="{386C8676-EA26-47EF-8BD9-6C75E65CA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6373</Words>
  <Characters>38239</Characters>
  <Lines>318</Lines>
  <Paragraphs>89</Paragraphs>
  <TotalTime>0</TotalTime>
  <ScaleCrop>false</ScaleCrop>
  <LinksUpToDate>false</LinksUpToDate>
  <CharactersWithSpaces>44523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2018-09-03T13:15:00Z</dcterms:created>
  <dcterms:modified xsi:type="dcterms:W3CDTF">2023-08-30T19:17:36Z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48F3856584D74BCCA1EFC002984E3D92</vt:lpwstr>
  </property>
  <property fmtid="{D5CDD505-2E9C-101B-9397-08002B2CF9AE}" pid="4" name="ContentTypeId">
    <vt:lpwstr>0x010100321E7EF3DA32DD46899C191876B1DA25</vt:lpwstr>
  </property>
</Properties>
</file>